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6C44" w:rsidRPr="00D34626" w:rsidRDefault="00F26C44" w:rsidP="00D34626">
      <w:pPr>
        <w:pStyle w:val="NormalWeb"/>
        <w:spacing w:before="0" w:beforeAutospacing="0" w:after="0" w:afterAutospacing="0" w:line="480" w:lineRule="auto"/>
        <w:rPr>
          <w:color w:val="0E101A"/>
        </w:rPr>
      </w:pPr>
      <w:bookmarkStart w:id="0" w:name="_GoBack"/>
      <w:bookmarkEnd w:id="0"/>
      <w:r w:rsidRPr="00D34626">
        <w:rPr>
          <w:color w:val="0E101A"/>
        </w:rPr>
        <w:t>Athenian Democracy</w:t>
      </w:r>
    </w:p>
    <w:p w:rsidR="00F26C44" w:rsidRPr="00D34626" w:rsidRDefault="00F26C44" w:rsidP="00D34626">
      <w:pPr>
        <w:pStyle w:val="NormalWeb"/>
        <w:spacing w:before="0" w:beforeAutospacing="0" w:after="0" w:afterAutospacing="0" w:line="480" w:lineRule="auto"/>
        <w:ind w:firstLine="720"/>
        <w:rPr>
          <w:color w:val="0E101A"/>
        </w:rPr>
      </w:pPr>
      <w:r w:rsidRPr="00D34626">
        <w:rPr>
          <w:color w:val="0E101A"/>
        </w:rPr>
        <w:t>Even though it has been described as the first known democracy in ancient societies, Athenian democracy was not easy to come by, as historical sources show. Most of the Greek cities practiced democratic political systems of legislation and representations as well as executive bills, but none has been well documented like the Athenian democracy. This essay seeks to answer the question of how democratic were the Athenians of the classical age? Based on the information retrieved from various primary sources such as speeches from the Ancient Greek philosophers and authors, this essay argues that despite that democracy in the ancient Athens was tumbling with challenges and inadequacies; its democracy is one of the most effective and advanced in the ancient Greek societies because they practiced a political system of constitutional reforms, assembly representatives, and judicial system.</w:t>
      </w:r>
    </w:p>
    <w:p w:rsidR="00F26C44" w:rsidRPr="00D34626" w:rsidRDefault="00F26C44" w:rsidP="00D34626">
      <w:pPr>
        <w:pStyle w:val="NormalWeb"/>
        <w:spacing w:before="0" w:beforeAutospacing="0" w:after="0" w:afterAutospacing="0" w:line="480" w:lineRule="auto"/>
        <w:ind w:firstLine="720"/>
        <w:rPr>
          <w:color w:val="0E101A"/>
        </w:rPr>
      </w:pPr>
      <w:r w:rsidRPr="00D34626">
        <w:rPr>
          <w:color w:val="0E101A"/>
        </w:rPr>
        <w:t xml:space="preserve">First, the Athenians were very democratic because they practiced a political system of constitutional reforms. Democracy is as good as its constitution, but when the constitution does not favor certain aspects of society's development, </w:t>
      </w:r>
      <w:proofErr w:type="gramStart"/>
      <w:r w:rsidRPr="00D34626">
        <w:rPr>
          <w:color w:val="0E101A"/>
        </w:rPr>
        <w:t>then</w:t>
      </w:r>
      <w:proofErr w:type="gramEnd"/>
      <w:r w:rsidRPr="00D34626">
        <w:rPr>
          <w:color w:val="0E101A"/>
        </w:rPr>
        <w:t xml:space="preserve"> it loses the importance and relevance. The Athenians were democratic because they made necessary changes to the law that they deem fit and suitable for their societies' development. Aristotle explains, in his </w:t>
      </w:r>
      <w:r w:rsidRPr="00D34626">
        <w:rPr>
          <w:rStyle w:val="Emphasis"/>
          <w:color w:val="0E101A"/>
        </w:rPr>
        <w:t>23 Volumes</w:t>
      </w:r>
      <w:r w:rsidRPr="00D34626">
        <w:rPr>
          <w:color w:val="0E101A"/>
        </w:rPr>
        <w:t>, the reforms that the Athenians made in 504 B.C "made the constitution much more democratic than that of Solon" through different enactments including the enact</w:t>
      </w:r>
      <w:r w:rsidR="00D34626" w:rsidRPr="00D34626">
        <w:rPr>
          <w:color w:val="0E101A"/>
        </w:rPr>
        <w:t>ment of the law about ostracism</w:t>
      </w:r>
      <w:r w:rsidRPr="00D34626">
        <w:rPr>
          <w:color w:val="0E101A"/>
        </w:rPr>
        <w:t>.</w:t>
      </w:r>
      <w:r w:rsidR="00D34626" w:rsidRPr="00D34626">
        <w:rPr>
          <w:rStyle w:val="FootnoteReference"/>
          <w:color w:val="0E101A"/>
        </w:rPr>
        <w:footnoteReference w:id="1"/>
      </w:r>
      <w:r w:rsidRPr="00D34626">
        <w:rPr>
          <w:color w:val="0E101A"/>
        </w:rPr>
        <w:t xml:space="preserve"> It is clear that the Athenian society had already started moving towards democracy, and they did not want anyone who would drag them back. In Aristotle's </w:t>
      </w:r>
      <w:r w:rsidRPr="00D34626">
        <w:rPr>
          <w:rStyle w:val="Emphasis"/>
          <w:color w:val="0E101A"/>
        </w:rPr>
        <w:t>23 Volumes</w:t>
      </w:r>
      <w:r w:rsidRPr="00D34626">
        <w:rPr>
          <w:color w:val="0E101A"/>
        </w:rPr>
        <w:t>, those who tried to oppose democracy and its leadership were dealt with through the Ostracism law.</w:t>
      </w:r>
      <w:r w:rsidR="00D34626" w:rsidRPr="00D34626">
        <w:rPr>
          <w:rStyle w:val="FootnoteReference"/>
          <w:color w:val="0E101A"/>
        </w:rPr>
        <w:footnoteReference w:id="2"/>
      </w:r>
    </w:p>
    <w:p w:rsidR="00F26C44" w:rsidRPr="00D34626" w:rsidRDefault="00F26C44" w:rsidP="00D34626">
      <w:pPr>
        <w:pStyle w:val="NormalWeb"/>
        <w:spacing w:before="0" w:beforeAutospacing="0" w:after="0" w:afterAutospacing="0" w:line="480" w:lineRule="auto"/>
        <w:ind w:firstLine="720"/>
        <w:rPr>
          <w:color w:val="0E101A"/>
        </w:rPr>
      </w:pPr>
      <w:r w:rsidRPr="00D34626">
        <w:rPr>
          <w:color w:val="0E101A"/>
        </w:rPr>
        <w:lastRenderedPageBreak/>
        <w:t>Secondly, the Athenians were democratic than any other society in ancient Greek society because they practiced political representations. After the nobility's power was broken, a democratic system was created in which the people were to elect their representatives to the Assembly to act and make legislations that affected them. Even though there were still challenges that led to war between different tribes in Greek society, the Athenian leaders, such as Hipparchus, were determined to see democracy prevail in all means. As Aristotle asserts further, the Athenian democracy of representation was committed to serving the people.</w:t>
      </w:r>
      <w:r w:rsidR="00D34626" w:rsidRPr="00D34626">
        <w:rPr>
          <w:rStyle w:val="FootnoteReference"/>
          <w:color w:val="0E101A"/>
        </w:rPr>
        <w:footnoteReference w:id="3"/>
      </w:r>
      <w:r w:rsidRPr="00D34626">
        <w:rPr>
          <w:color w:val="0E101A"/>
        </w:rPr>
        <w:t xml:space="preserve"> Furthermore, it also created an organized social, economic, and political systems in the Athenian cities. Everyone understood their roles and separated the different responsibilities. According to Aristotle, Hipparchus may have tumbled on some setbacks, but he was the first leader to separate "the people into noblemen and husb</w:t>
      </w:r>
      <w:r w:rsidR="00D34626" w:rsidRPr="00D34626">
        <w:rPr>
          <w:color w:val="0E101A"/>
        </w:rPr>
        <w:t>andmen, and handicraftsmen."</w:t>
      </w:r>
      <w:r w:rsidR="00D34626" w:rsidRPr="00D34626">
        <w:rPr>
          <w:rStyle w:val="FootnoteReference"/>
          <w:color w:val="0E101A"/>
        </w:rPr>
        <w:footnoteReference w:id="4"/>
      </w:r>
      <w:r w:rsidRPr="00D34626">
        <w:rPr>
          <w:color w:val="0E101A"/>
        </w:rPr>
        <w:t xml:space="preserve"> As explained in </w:t>
      </w:r>
      <w:r w:rsidRPr="00D34626">
        <w:rPr>
          <w:rStyle w:val="Emphasis"/>
          <w:color w:val="0E101A"/>
        </w:rPr>
        <w:t>Plutarch's Lives</w:t>
      </w:r>
      <w:r w:rsidRPr="00D34626">
        <w:rPr>
          <w:color w:val="0E101A"/>
        </w:rPr>
        <w:t>, the noblemen were charged with the responsibility of caring for the religious rites, the supply of the magistrates,</w:t>
      </w:r>
      <w:r w:rsidR="00D34626" w:rsidRPr="00D34626">
        <w:rPr>
          <w:color w:val="0E101A"/>
        </w:rPr>
        <w:t xml:space="preserve"> and teaching of heaven's will.</w:t>
      </w:r>
      <w:r w:rsidR="00D34626" w:rsidRPr="00D34626">
        <w:rPr>
          <w:rStyle w:val="FootnoteReference"/>
          <w:color w:val="0E101A"/>
        </w:rPr>
        <w:footnoteReference w:id="5"/>
      </w:r>
      <w:r w:rsidR="00D34626" w:rsidRPr="00D34626">
        <w:rPr>
          <w:color w:val="0E101A"/>
        </w:rPr>
        <w:t xml:space="preserve"> </w:t>
      </w:r>
      <w:r w:rsidRPr="00D34626">
        <w:rPr>
          <w:color w:val="0E101A"/>
        </w:rPr>
        <w:t>Hipparchus was the first leader to show true democracy as he was the first to lean towards people. The Athenian democracy was mainly associated with the events of the Assembly. The Assembly had various responsibilities, including executive pronouncements, elected officials, legislated on the Athenian laws, and tried pol</w:t>
      </w:r>
      <w:r w:rsidR="00D34626" w:rsidRPr="00D34626">
        <w:rPr>
          <w:color w:val="0E101A"/>
        </w:rPr>
        <w:t>itical crime offenders</w:t>
      </w:r>
      <w:r w:rsidRPr="00D34626">
        <w:rPr>
          <w:color w:val="0E101A"/>
        </w:rPr>
        <w:t>.</w:t>
      </w:r>
      <w:r w:rsidR="00D34626" w:rsidRPr="00D34626">
        <w:rPr>
          <w:rStyle w:val="FootnoteReference"/>
          <w:color w:val="0E101A"/>
        </w:rPr>
        <w:footnoteReference w:id="6"/>
      </w:r>
    </w:p>
    <w:p w:rsidR="00F26C44" w:rsidRPr="00D34626" w:rsidRDefault="00F26C44" w:rsidP="00D34626">
      <w:pPr>
        <w:pStyle w:val="NormalWeb"/>
        <w:spacing w:before="0" w:beforeAutospacing="0" w:after="0" w:afterAutospacing="0" w:line="480" w:lineRule="auto"/>
        <w:ind w:firstLine="720"/>
        <w:rPr>
          <w:color w:val="0E101A"/>
        </w:rPr>
      </w:pPr>
      <w:r w:rsidRPr="00D34626">
        <w:rPr>
          <w:color w:val="0E101A"/>
        </w:rPr>
        <w:t xml:space="preserve">Also, the judicial system's existence in the Athenian society is another proof that its democracy was effective. The establishment of the judicial system or the courts where offenders were tried proved how advanced the Athenian democracy had moved. Even though the </w:t>
      </w:r>
      <w:r w:rsidRPr="00D34626">
        <w:rPr>
          <w:color w:val="0E101A"/>
        </w:rPr>
        <w:lastRenderedPageBreak/>
        <w:t xml:space="preserve">Assembly was charged with this responsibility at first, the courts were later established to deal with the crimes and interpretation of the law. </w:t>
      </w:r>
      <w:proofErr w:type="spellStart"/>
      <w:r w:rsidRPr="00D34626">
        <w:rPr>
          <w:color w:val="0E101A"/>
        </w:rPr>
        <w:t>Aeschines</w:t>
      </w:r>
      <w:proofErr w:type="spellEnd"/>
      <w:r w:rsidRPr="00D34626">
        <w:rPr>
          <w:color w:val="0E101A"/>
        </w:rPr>
        <w:t xml:space="preserve">' speech demonstrates how the judicial system worked. </w:t>
      </w:r>
      <w:proofErr w:type="spellStart"/>
      <w:r w:rsidRPr="00D34626">
        <w:rPr>
          <w:color w:val="0E101A"/>
        </w:rPr>
        <w:t>Aeschines</w:t>
      </w:r>
      <w:proofErr w:type="spellEnd"/>
      <w:r w:rsidRPr="00D34626">
        <w:rPr>
          <w:color w:val="0E101A"/>
        </w:rPr>
        <w:t xml:space="preserve"> is involved as a witness in the prosecution of </w:t>
      </w:r>
      <w:proofErr w:type="spellStart"/>
      <w:r w:rsidRPr="00D34626">
        <w:rPr>
          <w:color w:val="0E101A"/>
        </w:rPr>
        <w:t>Timarchus</w:t>
      </w:r>
      <w:proofErr w:type="spellEnd"/>
      <w:r w:rsidRPr="00D34626">
        <w:rPr>
          <w:color w:val="0E101A"/>
        </w:rPr>
        <w:t>, who he believed had caused some serious injuries to the city.</w:t>
      </w:r>
      <w:r w:rsidR="00D34626" w:rsidRPr="00D34626">
        <w:rPr>
          <w:rStyle w:val="FootnoteReference"/>
          <w:color w:val="0E101A"/>
        </w:rPr>
        <w:footnoteReference w:id="7"/>
      </w:r>
      <w:r w:rsidRPr="00D34626">
        <w:rPr>
          <w:color w:val="0E101A"/>
        </w:rPr>
        <w:t xml:space="preserve"> As such, he felt like a noble and modest citizen of Athens to come and stand as a witness in the prosecution of </w:t>
      </w:r>
      <w:proofErr w:type="spellStart"/>
      <w:r w:rsidRPr="00D34626">
        <w:rPr>
          <w:color w:val="0E101A"/>
        </w:rPr>
        <w:t>Timarchus</w:t>
      </w:r>
      <w:proofErr w:type="spellEnd"/>
      <w:r w:rsidRPr="00D34626">
        <w:rPr>
          <w:color w:val="0E101A"/>
        </w:rPr>
        <w:t xml:space="preserve">. He keeps using the phrase "fellow citizens" in his statements to the court, showing that the Athenian society had a jury system where offenders were tried, and if the jury is convinced of his or her guilt, such a person would be sentenced to serve the required sentence under the laws. </w:t>
      </w:r>
      <w:proofErr w:type="spellStart"/>
      <w:r w:rsidRPr="00D34626">
        <w:rPr>
          <w:color w:val="0E101A"/>
        </w:rPr>
        <w:t>Aeschines</w:t>
      </w:r>
      <w:proofErr w:type="spellEnd"/>
      <w:r w:rsidRPr="00D34626">
        <w:rPr>
          <w:color w:val="0E101A"/>
        </w:rPr>
        <w:t xml:space="preserve"> further states that "in a democracy, it is the laws that guard the person of the citizen and the constitution of the state"</w:t>
      </w:r>
      <w:r w:rsidR="00D34626" w:rsidRPr="00D34626">
        <w:rPr>
          <w:color w:val="0E101A"/>
        </w:rPr>
        <w:t>.</w:t>
      </w:r>
      <w:r w:rsidR="00D34626" w:rsidRPr="00D34626">
        <w:rPr>
          <w:rStyle w:val="FootnoteReference"/>
          <w:color w:val="0E101A"/>
        </w:rPr>
        <w:footnoteReference w:id="8"/>
      </w:r>
      <w:r w:rsidRPr="00D34626">
        <w:rPr>
          <w:color w:val="0E101A"/>
        </w:rPr>
        <w:t xml:space="preserve"> </w:t>
      </w:r>
      <w:proofErr w:type="spellStart"/>
      <w:r w:rsidRPr="00D34626">
        <w:rPr>
          <w:color w:val="0E101A"/>
        </w:rPr>
        <w:t>Aeschines</w:t>
      </w:r>
      <w:proofErr w:type="spellEnd"/>
      <w:r w:rsidRPr="00D34626">
        <w:rPr>
          <w:color w:val="0E101A"/>
        </w:rPr>
        <w:t xml:space="preserve">' statement against </w:t>
      </w:r>
      <w:proofErr w:type="spellStart"/>
      <w:r w:rsidRPr="00D34626">
        <w:rPr>
          <w:color w:val="0E101A"/>
        </w:rPr>
        <w:t>Timarchus</w:t>
      </w:r>
      <w:proofErr w:type="spellEnd"/>
      <w:r w:rsidRPr="00D34626">
        <w:rPr>
          <w:color w:val="0E101A"/>
        </w:rPr>
        <w:t xml:space="preserve"> to the jury shows how Athenians considered democracy and stood to its defense when it was violated. Those who were considered heretics to the survival of the democratic process were given different sentences ranging from banishment and jail-term to death. Lawbreakers in the Athenian society were not left at the mercy of the mob justice or the nobility before having their fate as it were during the nobility system. Instead, they were taken through a court process where they were tried and determined if guilty. As </w:t>
      </w:r>
      <w:proofErr w:type="spellStart"/>
      <w:r w:rsidRPr="00D34626">
        <w:rPr>
          <w:color w:val="0E101A"/>
        </w:rPr>
        <w:t>Aeschines</w:t>
      </w:r>
      <w:proofErr w:type="spellEnd"/>
      <w:r w:rsidRPr="00D34626">
        <w:rPr>
          <w:color w:val="0E101A"/>
        </w:rPr>
        <w:t>' speech shows, there were those who practiced law to defend those who were accused of a crime, and there were also the prosecutors who acted on behalf of the state to prosecute those accused of a crime.</w:t>
      </w:r>
      <w:r w:rsidR="00D34626" w:rsidRPr="00D34626">
        <w:rPr>
          <w:rStyle w:val="FootnoteReference"/>
          <w:color w:val="0E101A"/>
        </w:rPr>
        <w:footnoteReference w:id="9"/>
      </w:r>
    </w:p>
    <w:p w:rsidR="00F26C44" w:rsidRPr="00D34626" w:rsidRDefault="00F26C44" w:rsidP="00D34626">
      <w:pPr>
        <w:pStyle w:val="NormalWeb"/>
        <w:spacing w:before="0" w:beforeAutospacing="0" w:after="0" w:afterAutospacing="0" w:line="480" w:lineRule="auto"/>
        <w:ind w:firstLine="720"/>
        <w:rPr>
          <w:color w:val="0E101A"/>
        </w:rPr>
      </w:pPr>
      <w:r w:rsidRPr="00D34626">
        <w:rPr>
          <w:color w:val="0E101A"/>
        </w:rPr>
        <w:t xml:space="preserve">In conclusion, the above evidence has shown that even though there were challenges in the Athenian society in Ancient Greece, democracy was considered paramount and thrived as the society thrived. The presence of laws, legislative processes like the Assembly of representatives, and the judicial system where people were believed to have committed crimes were tried and </w:t>
      </w:r>
      <w:r w:rsidRPr="00D34626">
        <w:rPr>
          <w:color w:val="0E101A"/>
        </w:rPr>
        <w:lastRenderedPageBreak/>
        <w:t>given appropriate sentences as per the Athenian laws. Evidence from the primary and secondary sources has proved that despite the challenges, Athenian democracy was effective and like no other in the Ancient Greeks society. The Athenian society was organized through political structures and systems as well as institutions that directed and guided the operations of the government.</w:t>
      </w:r>
    </w:p>
    <w:p w:rsidR="00AF7149" w:rsidRPr="00D34626" w:rsidRDefault="00AF7149" w:rsidP="00D34626">
      <w:pPr>
        <w:spacing w:after="0" w:line="480" w:lineRule="auto"/>
        <w:rPr>
          <w:rFonts w:ascii="Times New Roman" w:hAnsi="Times New Roman" w:cs="Times New Roman"/>
          <w:sz w:val="24"/>
          <w:szCs w:val="24"/>
        </w:rPr>
      </w:pPr>
    </w:p>
    <w:p w:rsidR="00D34626" w:rsidRPr="00D34626" w:rsidRDefault="00D34626" w:rsidP="00D34626">
      <w:pPr>
        <w:spacing w:after="0" w:line="480" w:lineRule="auto"/>
        <w:rPr>
          <w:rFonts w:ascii="Times New Roman" w:hAnsi="Times New Roman" w:cs="Times New Roman"/>
          <w:sz w:val="24"/>
          <w:szCs w:val="24"/>
        </w:rPr>
      </w:pPr>
    </w:p>
    <w:p w:rsidR="00D34626" w:rsidRPr="00D34626" w:rsidRDefault="00D34626" w:rsidP="00D34626">
      <w:pPr>
        <w:spacing w:after="0" w:line="480" w:lineRule="auto"/>
        <w:rPr>
          <w:rFonts w:ascii="Times New Roman" w:hAnsi="Times New Roman" w:cs="Times New Roman"/>
          <w:sz w:val="24"/>
          <w:szCs w:val="24"/>
        </w:rPr>
      </w:pPr>
    </w:p>
    <w:p w:rsidR="00D34626" w:rsidRPr="00D34626" w:rsidRDefault="00D34626" w:rsidP="00D34626">
      <w:pPr>
        <w:spacing w:after="0" w:line="480" w:lineRule="auto"/>
        <w:rPr>
          <w:rFonts w:ascii="Times New Roman" w:hAnsi="Times New Roman" w:cs="Times New Roman"/>
          <w:sz w:val="24"/>
          <w:szCs w:val="24"/>
        </w:rPr>
      </w:pPr>
    </w:p>
    <w:p w:rsidR="00D34626" w:rsidRPr="00D34626" w:rsidRDefault="00D34626" w:rsidP="00D34626">
      <w:pPr>
        <w:spacing w:after="0" w:line="480" w:lineRule="auto"/>
        <w:rPr>
          <w:rFonts w:ascii="Times New Roman" w:hAnsi="Times New Roman" w:cs="Times New Roman"/>
          <w:sz w:val="24"/>
          <w:szCs w:val="24"/>
        </w:rPr>
      </w:pPr>
    </w:p>
    <w:p w:rsidR="00D34626" w:rsidRPr="00D34626" w:rsidRDefault="00D34626" w:rsidP="00D34626">
      <w:pPr>
        <w:spacing w:after="0" w:line="480" w:lineRule="auto"/>
        <w:rPr>
          <w:rFonts w:ascii="Times New Roman" w:hAnsi="Times New Roman" w:cs="Times New Roman"/>
          <w:sz w:val="24"/>
          <w:szCs w:val="24"/>
        </w:rPr>
      </w:pPr>
    </w:p>
    <w:p w:rsidR="00D34626" w:rsidRPr="00D34626" w:rsidRDefault="00D34626" w:rsidP="00D34626">
      <w:pPr>
        <w:spacing w:after="0" w:line="480" w:lineRule="auto"/>
        <w:rPr>
          <w:rFonts w:ascii="Times New Roman" w:hAnsi="Times New Roman" w:cs="Times New Roman"/>
          <w:sz w:val="24"/>
          <w:szCs w:val="24"/>
        </w:rPr>
      </w:pPr>
    </w:p>
    <w:p w:rsidR="00D34626" w:rsidRPr="00D34626" w:rsidRDefault="00D34626" w:rsidP="00D34626">
      <w:pPr>
        <w:spacing w:after="0" w:line="480" w:lineRule="auto"/>
        <w:rPr>
          <w:rFonts w:ascii="Times New Roman" w:hAnsi="Times New Roman" w:cs="Times New Roman"/>
          <w:sz w:val="24"/>
          <w:szCs w:val="24"/>
        </w:rPr>
      </w:pPr>
    </w:p>
    <w:p w:rsidR="00D34626" w:rsidRPr="00D34626" w:rsidRDefault="00D34626" w:rsidP="00D34626">
      <w:pPr>
        <w:spacing w:after="0" w:line="480" w:lineRule="auto"/>
        <w:rPr>
          <w:rFonts w:ascii="Times New Roman" w:hAnsi="Times New Roman" w:cs="Times New Roman"/>
          <w:sz w:val="24"/>
          <w:szCs w:val="24"/>
        </w:rPr>
      </w:pPr>
    </w:p>
    <w:p w:rsidR="00D34626" w:rsidRPr="00D34626" w:rsidRDefault="00D34626" w:rsidP="00D34626">
      <w:pPr>
        <w:spacing w:after="0" w:line="480" w:lineRule="auto"/>
        <w:rPr>
          <w:rFonts w:ascii="Times New Roman" w:hAnsi="Times New Roman" w:cs="Times New Roman"/>
          <w:sz w:val="24"/>
          <w:szCs w:val="24"/>
        </w:rPr>
      </w:pPr>
    </w:p>
    <w:p w:rsidR="00D34626" w:rsidRPr="00D34626" w:rsidRDefault="00D34626" w:rsidP="00D34626">
      <w:pPr>
        <w:spacing w:after="0" w:line="480" w:lineRule="auto"/>
        <w:rPr>
          <w:rFonts w:ascii="Times New Roman" w:hAnsi="Times New Roman" w:cs="Times New Roman"/>
          <w:sz w:val="24"/>
          <w:szCs w:val="24"/>
        </w:rPr>
      </w:pPr>
    </w:p>
    <w:p w:rsidR="00D34626" w:rsidRPr="00D34626" w:rsidRDefault="00D34626" w:rsidP="00D34626">
      <w:pPr>
        <w:spacing w:after="0" w:line="480" w:lineRule="auto"/>
        <w:rPr>
          <w:rFonts w:ascii="Times New Roman" w:hAnsi="Times New Roman" w:cs="Times New Roman"/>
          <w:sz w:val="24"/>
          <w:szCs w:val="24"/>
        </w:rPr>
      </w:pPr>
    </w:p>
    <w:p w:rsidR="00D34626" w:rsidRPr="00D34626" w:rsidRDefault="00D34626" w:rsidP="00D34626">
      <w:pPr>
        <w:spacing w:after="0" w:line="480" w:lineRule="auto"/>
        <w:rPr>
          <w:rFonts w:ascii="Times New Roman" w:hAnsi="Times New Roman" w:cs="Times New Roman"/>
          <w:sz w:val="24"/>
          <w:szCs w:val="24"/>
        </w:rPr>
      </w:pPr>
    </w:p>
    <w:p w:rsidR="00D34626" w:rsidRPr="00D34626" w:rsidRDefault="00D34626" w:rsidP="00D34626">
      <w:pPr>
        <w:spacing w:after="0" w:line="480" w:lineRule="auto"/>
        <w:rPr>
          <w:rFonts w:ascii="Times New Roman" w:hAnsi="Times New Roman" w:cs="Times New Roman"/>
          <w:sz w:val="24"/>
          <w:szCs w:val="24"/>
        </w:rPr>
      </w:pPr>
    </w:p>
    <w:p w:rsidR="00D34626" w:rsidRPr="00D34626" w:rsidRDefault="00D34626" w:rsidP="00D34626">
      <w:pPr>
        <w:spacing w:after="0" w:line="480" w:lineRule="auto"/>
        <w:rPr>
          <w:rFonts w:ascii="Times New Roman" w:hAnsi="Times New Roman" w:cs="Times New Roman"/>
          <w:sz w:val="24"/>
          <w:szCs w:val="24"/>
        </w:rPr>
      </w:pPr>
    </w:p>
    <w:p w:rsidR="00D34626" w:rsidRPr="00D34626" w:rsidRDefault="00D34626" w:rsidP="00D34626">
      <w:pPr>
        <w:spacing w:after="0" w:line="480" w:lineRule="auto"/>
        <w:rPr>
          <w:rFonts w:ascii="Times New Roman" w:hAnsi="Times New Roman" w:cs="Times New Roman"/>
          <w:sz w:val="24"/>
          <w:szCs w:val="24"/>
        </w:rPr>
      </w:pPr>
    </w:p>
    <w:p w:rsidR="00D34626" w:rsidRDefault="00D34626" w:rsidP="00D34626">
      <w:pPr>
        <w:spacing w:after="0" w:line="480" w:lineRule="auto"/>
        <w:rPr>
          <w:rFonts w:ascii="Times New Roman" w:hAnsi="Times New Roman" w:cs="Times New Roman"/>
          <w:sz w:val="24"/>
          <w:szCs w:val="24"/>
        </w:rPr>
      </w:pPr>
    </w:p>
    <w:p w:rsidR="00D34626" w:rsidRPr="00D34626" w:rsidRDefault="00D34626" w:rsidP="00D34626">
      <w:pPr>
        <w:spacing w:after="0" w:line="480" w:lineRule="auto"/>
        <w:rPr>
          <w:rFonts w:ascii="Times New Roman" w:hAnsi="Times New Roman" w:cs="Times New Roman"/>
          <w:sz w:val="24"/>
          <w:szCs w:val="24"/>
        </w:rPr>
      </w:pPr>
    </w:p>
    <w:p w:rsidR="00D34626" w:rsidRPr="00D34626" w:rsidRDefault="00D34626" w:rsidP="00D34626">
      <w:pPr>
        <w:spacing w:after="0" w:line="480" w:lineRule="auto"/>
        <w:jc w:val="center"/>
        <w:rPr>
          <w:rFonts w:ascii="Times New Roman" w:hAnsi="Times New Roman" w:cs="Times New Roman"/>
          <w:sz w:val="24"/>
          <w:szCs w:val="24"/>
        </w:rPr>
      </w:pPr>
      <w:r w:rsidRPr="00D34626">
        <w:rPr>
          <w:rFonts w:ascii="Times New Roman" w:hAnsi="Times New Roman" w:cs="Times New Roman"/>
          <w:sz w:val="24"/>
          <w:szCs w:val="24"/>
        </w:rPr>
        <w:lastRenderedPageBreak/>
        <w:t>Works Cited</w:t>
      </w:r>
    </w:p>
    <w:p w:rsidR="00D34626" w:rsidRPr="00D34626" w:rsidRDefault="00D34626" w:rsidP="00D34626">
      <w:pPr>
        <w:spacing w:after="0" w:line="480" w:lineRule="auto"/>
        <w:ind w:left="720" w:hanging="720"/>
        <w:rPr>
          <w:rFonts w:ascii="Times New Roman" w:hAnsi="Times New Roman" w:cs="Times New Roman"/>
          <w:sz w:val="24"/>
          <w:szCs w:val="24"/>
        </w:rPr>
      </w:pPr>
      <w:proofErr w:type="spellStart"/>
      <w:r w:rsidRPr="00D34626">
        <w:rPr>
          <w:rFonts w:ascii="Times New Roman" w:hAnsi="Times New Roman" w:cs="Times New Roman"/>
          <w:sz w:val="24"/>
          <w:szCs w:val="24"/>
        </w:rPr>
        <w:t>Aeschines</w:t>
      </w:r>
      <w:proofErr w:type="spellEnd"/>
      <w:r w:rsidRPr="00D34626">
        <w:rPr>
          <w:rFonts w:ascii="Times New Roman" w:hAnsi="Times New Roman" w:cs="Times New Roman"/>
          <w:sz w:val="24"/>
          <w:szCs w:val="24"/>
        </w:rPr>
        <w:t xml:space="preserve">, </w:t>
      </w:r>
      <w:r w:rsidRPr="00D34626">
        <w:rPr>
          <w:rFonts w:ascii="Times New Roman" w:hAnsi="Times New Roman" w:cs="Times New Roman"/>
          <w:i/>
          <w:sz w:val="24"/>
          <w:szCs w:val="24"/>
        </w:rPr>
        <w:t>Speeches</w:t>
      </w:r>
      <w:r w:rsidRPr="00D34626">
        <w:rPr>
          <w:rFonts w:ascii="Times New Roman" w:hAnsi="Times New Roman" w:cs="Times New Roman"/>
          <w:sz w:val="24"/>
          <w:szCs w:val="24"/>
        </w:rPr>
        <w:t xml:space="preserve"> (English) (XML Header) [Genre: Prose; rhetoric] </w:t>
      </w:r>
      <w:proofErr w:type="spellStart"/>
      <w:r w:rsidRPr="00D34626">
        <w:rPr>
          <w:rFonts w:ascii="Times New Roman" w:hAnsi="Times New Roman" w:cs="Times New Roman"/>
          <w:sz w:val="24"/>
          <w:szCs w:val="24"/>
        </w:rPr>
        <w:t>Aeschin</w:t>
      </w:r>
      <w:proofErr w:type="spellEnd"/>
      <w:r w:rsidRPr="00D34626">
        <w:rPr>
          <w:rFonts w:ascii="Times New Roman" w:hAnsi="Times New Roman" w:cs="Times New Roman"/>
          <w:sz w:val="24"/>
          <w:szCs w:val="24"/>
        </w:rPr>
        <w:t>. Accessed from http://artflsrv02.uchicago.edu/cgi-bin/perseus/citequery3.pl?dbname=GreekMay20&amp;getid=1&amp;query=Aeschin.%201.1</w:t>
      </w:r>
    </w:p>
    <w:p w:rsidR="00D34626" w:rsidRPr="00D34626" w:rsidRDefault="00D34626" w:rsidP="00D34626">
      <w:pPr>
        <w:spacing w:after="0" w:line="480" w:lineRule="auto"/>
        <w:ind w:left="720" w:hanging="720"/>
        <w:rPr>
          <w:rFonts w:ascii="Times New Roman" w:hAnsi="Times New Roman" w:cs="Times New Roman"/>
          <w:sz w:val="24"/>
          <w:szCs w:val="24"/>
        </w:rPr>
      </w:pPr>
      <w:proofErr w:type="gramStart"/>
      <w:r w:rsidRPr="00D34626">
        <w:rPr>
          <w:rFonts w:ascii="Times New Roman" w:hAnsi="Times New Roman" w:cs="Times New Roman"/>
          <w:sz w:val="24"/>
          <w:szCs w:val="24"/>
        </w:rPr>
        <w:t xml:space="preserve">Aristotle in </w:t>
      </w:r>
      <w:r w:rsidRPr="00D34626">
        <w:rPr>
          <w:rFonts w:ascii="Times New Roman" w:hAnsi="Times New Roman" w:cs="Times New Roman"/>
          <w:i/>
          <w:sz w:val="24"/>
          <w:szCs w:val="24"/>
        </w:rPr>
        <w:t>23 Volumes, Vol. 20</w:t>
      </w:r>
      <w:r w:rsidRPr="00D34626">
        <w:rPr>
          <w:rFonts w:ascii="Times New Roman" w:hAnsi="Times New Roman" w:cs="Times New Roman"/>
          <w:sz w:val="24"/>
          <w:szCs w:val="24"/>
        </w:rPr>
        <w:t>, translated by H. Rackham.</w:t>
      </w:r>
      <w:proofErr w:type="gramEnd"/>
      <w:r w:rsidRPr="00D34626">
        <w:rPr>
          <w:rFonts w:ascii="Times New Roman" w:hAnsi="Times New Roman" w:cs="Times New Roman"/>
          <w:sz w:val="24"/>
          <w:szCs w:val="24"/>
        </w:rPr>
        <w:t xml:space="preserve"> </w:t>
      </w:r>
      <w:proofErr w:type="gramStart"/>
      <w:r w:rsidRPr="00D34626">
        <w:rPr>
          <w:rFonts w:ascii="Times New Roman" w:hAnsi="Times New Roman" w:cs="Times New Roman"/>
          <w:sz w:val="24"/>
          <w:szCs w:val="24"/>
        </w:rPr>
        <w:t>Cambridge, MA, Harvard University Press; London, William Heinemann Ltd. 1952.</w:t>
      </w:r>
      <w:proofErr w:type="gramEnd"/>
      <w:r w:rsidRPr="00D34626">
        <w:rPr>
          <w:rFonts w:ascii="Times New Roman" w:hAnsi="Times New Roman" w:cs="Times New Roman"/>
          <w:sz w:val="24"/>
          <w:szCs w:val="24"/>
        </w:rPr>
        <w:t xml:space="preserve"> Accessed from http://www.perseus.tufts.edu/hopper/text?doc=Perseus%3Atext%3A1999.01.0046%3Achapter%3D22%3Asection%3D1</w:t>
      </w:r>
    </w:p>
    <w:p w:rsidR="00D34626" w:rsidRPr="00D34626" w:rsidRDefault="00D34626" w:rsidP="00D34626">
      <w:pPr>
        <w:spacing w:after="0" w:line="480" w:lineRule="auto"/>
        <w:ind w:left="720" w:hanging="720"/>
        <w:rPr>
          <w:rFonts w:ascii="Times New Roman" w:hAnsi="Times New Roman" w:cs="Times New Roman"/>
          <w:sz w:val="24"/>
          <w:szCs w:val="24"/>
        </w:rPr>
      </w:pPr>
      <w:r w:rsidRPr="00D34626">
        <w:rPr>
          <w:rFonts w:ascii="Times New Roman" w:hAnsi="Times New Roman" w:cs="Times New Roman"/>
          <w:sz w:val="24"/>
          <w:szCs w:val="24"/>
        </w:rPr>
        <w:t xml:space="preserve">Plutarch. </w:t>
      </w:r>
      <w:proofErr w:type="gramStart"/>
      <w:r w:rsidRPr="00D34626">
        <w:rPr>
          <w:rFonts w:ascii="Times New Roman" w:hAnsi="Times New Roman" w:cs="Times New Roman"/>
          <w:i/>
          <w:sz w:val="24"/>
          <w:szCs w:val="24"/>
        </w:rPr>
        <w:t>Plutarch's Lives.</w:t>
      </w:r>
      <w:proofErr w:type="gramEnd"/>
      <w:r w:rsidRPr="00D34626">
        <w:rPr>
          <w:rFonts w:ascii="Times New Roman" w:hAnsi="Times New Roman" w:cs="Times New Roman"/>
          <w:sz w:val="24"/>
          <w:szCs w:val="24"/>
        </w:rPr>
        <w:t xml:space="preserve"> </w:t>
      </w:r>
      <w:proofErr w:type="gramStart"/>
      <w:r w:rsidRPr="00D34626">
        <w:rPr>
          <w:rFonts w:ascii="Times New Roman" w:hAnsi="Times New Roman" w:cs="Times New Roman"/>
          <w:sz w:val="24"/>
          <w:szCs w:val="24"/>
        </w:rPr>
        <w:t>With an English Translation by.</w:t>
      </w:r>
      <w:proofErr w:type="gramEnd"/>
      <w:r w:rsidRPr="00D34626">
        <w:rPr>
          <w:rFonts w:ascii="Times New Roman" w:hAnsi="Times New Roman" w:cs="Times New Roman"/>
          <w:sz w:val="24"/>
          <w:szCs w:val="24"/>
        </w:rPr>
        <w:t xml:space="preserve"> Bernadotte Perrin. Cambridge, MA. </w:t>
      </w:r>
      <w:proofErr w:type="gramStart"/>
      <w:r w:rsidRPr="00D34626">
        <w:rPr>
          <w:rFonts w:ascii="Times New Roman" w:hAnsi="Times New Roman" w:cs="Times New Roman"/>
          <w:sz w:val="24"/>
          <w:szCs w:val="24"/>
        </w:rPr>
        <w:t>Harvard University Press.</w:t>
      </w:r>
      <w:proofErr w:type="gramEnd"/>
      <w:r w:rsidRPr="00D34626">
        <w:rPr>
          <w:rFonts w:ascii="Times New Roman" w:hAnsi="Times New Roman" w:cs="Times New Roman"/>
          <w:sz w:val="24"/>
          <w:szCs w:val="24"/>
        </w:rPr>
        <w:t xml:space="preserve"> London. </w:t>
      </w:r>
      <w:proofErr w:type="gramStart"/>
      <w:r w:rsidRPr="00D34626">
        <w:rPr>
          <w:rFonts w:ascii="Times New Roman" w:hAnsi="Times New Roman" w:cs="Times New Roman"/>
          <w:sz w:val="24"/>
          <w:szCs w:val="24"/>
        </w:rPr>
        <w:t>William Heinemann Ltd. 1914.</w:t>
      </w:r>
      <w:proofErr w:type="gramEnd"/>
      <w:r w:rsidRPr="00D34626">
        <w:rPr>
          <w:rFonts w:ascii="Times New Roman" w:hAnsi="Times New Roman" w:cs="Times New Roman"/>
          <w:sz w:val="24"/>
          <w:szCs w:val="24"/>
        </w:rPr>
        <w:t xml:space="preserve"> . Accessed from http://www.perseus.tufts.edu/hopper/text?doc=Plut.%20Thes.%2025&amp;lang=original</w:t>
      </w:r>
    </w:p>
    <w:p w:rsidR="00D34626" w:rsidRPr="00D34626" w:rsidRDefault="00D34626" w:rsidP="00D34626">
      <w:pPr>
        <w:spacing w:after="0" w:line="480" w:lineRule="auto"/>
        <w:ind w:left="720" w:hanging="720"/>
        <w:rPr>
          <w:rFonts w:ascii="Times New Roman" w:hAnsi="Times New Roman" w:cs="Times New Roman"/>
          <w:sz w:val="24"/>
          <w:szCs w:val="24"/>
        </w:rPr>
      </w:pPr>
      <w:r w:rsidRPr="00D34626">
        <w:rPr>
          <w:rFonts w:ascii="Times New Roman" w:hAnsi="Times New Roman" w:cs="Times New Roman"/>
          <w:sz w:val="24"/>
          <w:szCs w:val="24"/>
          <w:shd w:val="clear" w:color="auto" w:fill="FFFFFF"/>
        </w:rPr>
        <w:t>Thorley, John. </w:t>
      </w:r>
      <w:proofErr w:type="gramStart"/>
      <w:r w:rsidRPr="00D34626">
        <w:rPr>
          <w:rFonts w:ascii="Times New Roman" w:hAnsi="Times New Roman" w:cs="Times New Roman"/>
          <w:i/>
          <w:iCs/>
          <w:sz w:val="24"/>
          <w:szCs w:val="24"/>
          <w:shd w:val="clear" w:color="auto" w:fill="FFFFFF"/>
        </w:rPr>
        <w:t>Athenian Democracy</w:t>
      </w:r>
      <w:r w:rsidRPr="00D34626">
        <w:rPr>
          <w:rFonts w:ascii="Times New Roman" w:hAnsi="Times New Roman" w:cs="Times New Roman"/>
          <w:sz w:val="24"/>
          <w:szCs w:val="24"/>
          <w:shd w:val="clear" w:color="auto" w:fill="FFFFFF"/>
        </w:rPr>
        <w:t>.</w:t>
      </w:r>
      <w:proofErr w:type="gramEnd"/>
      <w:r w:rsidRPr="00D34626">
        <w:rPr>
          <w:rFonts w:ascii="Times New Roman" w:hAnsi="Times New Roman" w:cs="Times New Roman"/>
          <w:sz w:val="24"/>
          <w:szCs w:val="24"/>
          <w:shd w:val="clear" w:color="auto" w:fill="FFFFFF"/>
        </w:rPr>
        <w:t xml:space="preserve"> </w:t>
      </w:r>
      <w:proofErr w:type="gramStart"/>
      <w:r w:rsidRPr="00D34626">
        <w:rPr>
          <w:rFonts w:ascii="Times New Roman" w:hAnsi="Times New Roman" w:cs="Times New Roman"/>
          <w:sz w:val="24"/>
          <w:szCs w:val="24"/>
          <w:shd w:val="clear" w:color="auto" w:fill="FFFFFF"/>
        </w:rPr>
        <w:t xml:space="preserve">Lancaster Pamphlets in Ancient History, </w:t>
      </w:r>
      <w:proofErr w:type="spellStart"/>
      <w:r w:rsidRPr="00D34626">
        <w:rPr>
          <w:rFonts w:ascii="Times New Roman" w:hAnsi="Times New Roman" w:cs="Times New Roman"/>
          <w:sz w:val="24"/>
          <w:szCs w:val="24"/>
          <w:shd w:val="clear" w:color="auto" w:fill="FFFFFF"/>
        </w:rPr>
        <w:t>Routledge</w:t>
      </w:r>
      <w:proofErr w:type="spellEnd"/>
      <w:r w:rsidRPr="00D34626">
        <w:rPr>
          <w:rFonts w:ascii="Times New Roman" w:hAnsi="Times New Roman" w:cs="Times New Roman"/>
          <w:sz w:val="24"/>
          <w:szCs w:val="24"/>
          <w:shd w:val="clear" w:color="auto" w:fill="FFFFFF"/>
        </w:rPr>
        <w:t>, 2005.</w:t>
      </w:r>
      <w:proofErr w:type="gramEnd"/>
    </w:p>
    <w:p w:rsidR="00D34626" w:rsidRPr="00D34626" w:rsidRDefault="00D34626" w:rsidP="00D34626">
      <w:pPr>
        <w:spacing w:after="0" w:line="480" w:lineRule="auto"/>
        <w:ind w:left="720" w:hanging="720"/>
        <w:rPr>
          <w:rFonts w:ascii="Times New Roman" w:hAnsi="Times New Roman" w:cs="Times New Roman"/>
          <w:sz w:val="24"/>
          <w:szCs w:val="24"/>
        </w:rPr>
      </w:pPr>
    </w:p>
    <w:sectPr w:rsidR="00D34626" w:rsidRPr="00D3462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19DC" w:rsidRDefault="009419DC" w:rsidP="00D34626">
      <w:pPr>
        <w:spacing w:after="0" w:line="240" w:lineRule="auto"/>
      </w:pPr>
      <w:r>
        <w:separator/>
      </w:r>
    </w:p>
  </w:endnote>
  <w:endnote w:type="continuationSeparator" w:id="0">
    <w:p w:rsidR="009419DC" w:rsidRDefault="009419DC" w:rsidP="00D346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19DC" w:rsidRDefault="009419DC" w:rsidP="00D34626">
      <w:pPr>
        <w:spacing w:after="0" w:line="240" w:lineRule="auto"/>
      </w:pPr>
      <w:r>
        <w:separator/>
      </w:r>
    </w:p>
  </w:footnote>
  <w:footnote w:type="continuationSeparator" w:id="0">
    <w:p w:rsidR="009419DC" w:rsidRDefault="009419DC" w:rsidP="00D34626">
      <w:pPr>
        <w:spacing w:after="0" w:line="240" w:lineRule="auto"/>
      </w:pPr>
      <w:r>
        <w:continuationSeparator/>
      </w:r>
    </w:p>
  </w:footnote>
  <w:footnote w:id="1">
    <w:p w:rsidR="00D34626" w:rsidRPr="00D34626" w:rsidRDefault="00D34626" w:rsidP="00D34626">
      <w:pPr>
        <w:pStyle w:val="FootnoteText"/>
        <w:ind w:left="720" w:hanging="720"/>
        <w:rPr>
          <w:rFonts w:ascii="Arial" w:hAnsi="Arial" w:cs="Arial"/>
        </w:rPr>
      </w:pPr>
      <w:r w:rsidRPr="00D34626">
        <w:rPr>
          <w:rStyle w:val="FootnoteReference"/>
          <w:rFonts w:ascii="Arial" w:hAnsi="Arial" w:cs="Arial"/>
        </w:rPr>
        <w:footnoteRef/>
      </w:r>
      <w:r w:rsidRPr="00D34626">
        <w:rPr>
          <w:rFonts w:ascii="Arial" w:hAnsi="Arial" w:cs="Arial"/>
        </w:rPr>
        <w:t xml:space="preserve"> </w:t>
      </w:r>
      <w:proofErr w:type="gramStart"/>
      <w:r w:rsidRPr="00D34626">
        <w:rPr>
          <w:rFonts w:ascii="Arial" w:hAnsi="Arial" w:cs="Arial"/>
          <w:color w:val="000000"/>
        </w:rPr>
        <w:t xml:space="preserve">Aristotle in </w:t>
      </w:r>
      <w:r w:rsidRPr="00D34626">
        <w:rPr>
          <w:rFonts w:ascii="Arial" w:hAnsi="Arial" w:cs="Arial"/>
          <w:i/>
          <w:color w:val="000000"/>
        </w:rPr>
        <w:t>23 Volumes, Vol. 20</w:t>
      </w:r>
      <w:r w:rsidRPr="00D34626">
        <w:rPr>
          <w:rFonts w:ascii="Arial" w:hAnsi="Arial" w:cs="Arial"/>
          <w:color w:val="000000"/>
        </w:rPr>
        <w:t>, translated by H. Rackham.</w:t>
      </w:r>
      <w:proofErr w:type="gramEnd"/>
      <w:r w:rsidRPr="00D34626">
        <w:rPr>
          <w:rFonts w:ascii="Arial" w:hAnsi="Arial" w:cs="Arial"/>
          <w:color w:val="000000"/>
        </w:rPr>
        <w:t xml:space="preserve"> Cambridge, MA, Harvard University Press; London, William Heinemann Ltd. 1952, p. 22.2</w:t>
      </w:r>
    </w:p>
  </w:footnote>
  <w:footnote w:id="2">
    <w:p w:rsidR="00D34626" w:rsidRPr="00D34626" w:rsidRDefault="00D34626" w:rsidP="00D34626">
      <w:pPr>
        <w:pStyle w:val="FootnoteText"/>
        <w:ind w:left="720" w:hanging="720"/>
        <w:rPr>
          <w:rFonts w:ascii="Arial" w:hAnsi="Arial" w:cs="Arial"/>
        </w:rPr>
      </w:pPr>
      <w:r w:rsidRPr="00D34626">
        <w:rPr>
          <w:rStyle w:val="FootnoteReference"/>
          <w:rFonts w:ascii="Arial" w:hAnsi="Arial" w:cs="Arial"/>
        </w:rPr>
        <w:footnoteRef/>
      </w:r>
      <w:r w:rsidRPr="00D34626">
        <w:rPr>
          <w:rFonts w:ascii="Arial" w:hAnsi="Arial" w:cs="Arial"/>
        </w:rPr>
        <w:t xml:space="preserve"> Ibid, p. 22.2</w:t>
      </w:r>
    </w:p>
  </w:footnote>
  <w:footnote w:id="3">
    <w:p w:rsidR="00D34626" w:rsidRPr="00D34626" w:rsidRDefault="00D34626" w:rsidP="00D34626">
      <w:pPr>
        <w:pStyle w:val="FootnoteText"/>
        <w:ind w:left="720" w:hanging="720"/>
        <w:rPr>
          <w:rFonts w:ascii="Arial" w:hAnsi="Arial" w:cs="Arial"/>
        </w:rPr>
      </w:pPr>
      <w:r w:rsidRPr="00D34626">
        <w:rPr>
          <w:rStyle w:val="FootnoteReference"/>
          <w:rFonts w:ascii="Arial" w:hAnsi="Arial" w:cs="Arial"/>
        </w:rPr>
        <w:footnoteRef/>
      </w:r>
      <w:r w:rsidRPr="00D34626">
        <w:rPr>
          <w:rFonts w:ascii="Arial" w:hAnsi="Arial" w:cs="Arial"/>
        </w:rPr>
        <w:t xml:space="preserve"> Ibid.</w:t>
      </w:r>
    </w:p>
  </w:footnote>
  <w:footnote w:id="4">
    <w:p w:rsidR="00D34626" w:rsidRPr="00D34626" w:rsidRDefault="00D34626" w:rsidP="00D34626">
      <w:pPr>
        <w:pStyle w:val="FootnoteText"/>
        <w:ind w:left="720" w:hanging="720"/>
        <w:rPr>
          <w:rFonts w:ascii="Arial" w:hAnsi="Arial" w:cs="Arial"/>
        </w:rPr>
      </w:pPr>
      <w:r w:rsidRPr="00D34626">
        <w:rPr>
          <w:rStyle w:val="FootnoteReference"/>
          <w:rFonts w:ascii="Arial" w:hAnsi="Arial" w:cs="Arial"/>
        </w:rPr>
        <w:footnoteRef/>
      </w:r>
      <w:r w:rsidRPr="00D34626">
        <w:rPr>
          <w:rFonts w:ascii="Arial" w:hAnsi="Arial" w:cs="Arial"/>
        </w:rPr>
        <w:t xml:space="preserve"> </w:t>
      </w:r>
      <w:r w:rsidRPr="00D34626">
        <w:rPr>
          <w:rFonts w:ascii="Arial" w:hAnsi="Arial" w:cs="Arial"/>
          <w:color w:val="000000"/>
        </w:rPr>
        <w:t>Plutarch</w:t>
      </w:r>
      <w:r w:rsidRPr="00D34626">
        <w:rPr>
          <w:rFonts w:ascii="Arial" w:hAnsi="Arial" w:cs="Arial"/>
          <w:i/>
          <w:color w:val="000000"/>
        </w:rPr>
        <w:t xml:space="preserve">. </w:t>
      </w:r>
      <w:proofErr w:type="gramStart"/>
      <w:r w:rsidRPr="00D34626">
        <w:rPr>
          <w:rFonts w:ascii="Arial" w:hAnsi="Arial" w:cs="Arial"/>
          <w:i/>
          <w:color w:val="000000"/>
        </w:rPr>
        <w:t>Plutarch's Lives.</w:t>
      </w:r>
      <w:proofErr w:type="gramEnd"/>
      <w:r w:rsidRPr="00D34626">
        <w:rPr>
          <w:rFonts w:ascii="Arial" w:hAnsi="Arial" w:cs="Arial"/>
          <w:color w:val="000000"/>
        </w:rPr>
        <w:t xml:space="preserve"> </w:t>
      </w:r>
      <w:proofErr w:type="gramStart"/>
      <w:r w:rsidRPr="00D34626">
        <w:rPr>
          <w:rFonts w:ascii="Arial" w:hAnsi="Arial" w:cs="Arial"/>
          <w:color w:val="000000"/>
        </w:rPr>
        <w:t>With an English Translation by.</w:t>
      </w:r>
      <w:proofErr w:type="gramEnd"/>
      <w:r w:rsidRPr="00D34626">
        <w:rPr>
          <w:rFonts w:ascii="Arial" w:hAnsi="Arial" w:cs="Arial"/>
          <w:color w:val="000000"/>
        </w:rPr>
        <w:t xml:space="preserve"> Bernadotte Perrin. Cambridge, MA. </w:t>
      </w:r>
      <w:proofErr w:type="gramStart"/>
      <w:r w:rsidRPr="00D34626">
        <w:rPr>
          <w:rFonts w:ascii="Arial" w:hAnsi="Arial" w:cs="Arial"/>
          <w:color w:val="000000"/>
        </w:rPr>
        <w:t>Harvard University Press.</w:t>
      </w:r>
      <w:proofErr w:type="gramEnd"/>
      <w:r w:rsidRPr="00D34626">
        <w:rPr>
          <w:rFonts w:ascii="Arial" w:hAnsi="Arial" w:cs="Arial"/>
          <w:color w:val="000000"/>
        </w:rPr>
        <w:t xml:space="preserve"> London. William Heinemann Ltd. 1914, p. 25.</w:t>
      </w:r>
    </w:p>
  </w:footnote>
  <w:footnote w:id="5">
    <w:p w:rsidR="00D34626" w:rsidRPr="00D34626" w:rsidRDefault="00D34626" w:rsidP="00D34626">
      <w:pPr>
        <w:pStyle w:val="FootnoteText"/>
        <w:ind w:left="720" w:hanging="720"/>
        <w:rPr>
          <w:rFonts w:ascii="Arial" w:hAnsi="Arial" w:cs="Arial"/>
        </w:rPr>
      </w:pPr>
      <w:r w:rsidRPr="00D34626">
        <w:rPr>
          <w:rStyle w:val="FootnoteReference"/>
          <w:rFonts w:ascii="Arial" w:hAnsi="Arial" w:cs="Arial"/>
        </w:rPr>
        <w:footnoteRef/>
      </w:r>
      <w:r w:rsidRPr="00D34626">
        <w:rPr>
          <w:rFonts w:ascii="Arial" w:hAnsi="Arial" w:cs="Arial"/>
        </w:rPr>
        <w:t xml:space="preserve"> Ibid., p. 25.2</w:t>
      </w:r>
    </w:p>
  </w:footnote>
  <w:footnote w:id="6">
    <w:p w:rsidR="00D34626" w:rsidRPr="00D34626" w:rsidRDefault="00D34626" w:rsidP="00D34626">
      <w:pPr>
        <w:spacing w:after="0" w:line="240" w:lineRule="auto"/>
        <w:ind w:left="720" w:hanging="720"/>
        <w:rPr>
          <w:rFonts w:ascii="Arial" w:hAnsi="Arial" w:cs="Arial"/>
          <w:sz w:val="20"/>
          <w:szCs w:val="20"/>
        </w:rPr>
      </w:pPr>
      <w:r w:rsidRPr="00D34626">
        <w:rPr>
          <w:rStyle w:val="FootnoteReference"/>
          <w:rFonts w:ascii="Arial" w:hAnsi="Arial" w:cs="Arial"/>
          <w:sz w:val="20"/>
          <w:szCs w:val="20"/>
        </w:rPr>
        <w:footnoteRef/>
      </w:r>
      <w:r w:rsidRPr="00D34626">
        <w:rPr>
          <w:rFonts w:ascii="Arial" w:hAnsi="Arial" w:cs="Arial"/>
          <w:sz w:val="20"/>
          <w:szCs w:val="20"/>
        </w:rPr>
        <w:t xml:space="preserve"> </w:t>
      </w:r>
      <w:r w:rsidRPr="00D34626">
        <w:rPr>
          <w:rFonts w:ascii="Arial" w:hAnsi="Arial" w:cs="Arial"/>
          <w:sz w:val="20"/>
          <w:szCs w:val="20"/>
          <w:shd w:val="clear" w:color="auto" w:fill="FFFFFF"/>
        </w:rPr>
        <w:t>Thorley, John. </w:t>
      </w:r>
      <w:proofErr w:type="gramStart"/>
      <w:r w:rsidRPr="00D34626">
        <w:rPr>
          <w:rFonts w:ascii="Arial" w:hAnsi="Arial" w:cs="Arial"/>
          <w:i/>
          <w:iCs/>
          <w:sz w:val="20"/>
          <w:szCs w:val="20"/>
          <w:shd w:val="clear" w:color="auto" w:fill="FFFFFF"/>
        </w:rPr>
        <w:t>Athenian Democracy</w:t>
      </w:r>
      <w:r w:rsidRPr="00D34626">
        <w:rPr>
          <w:rFonts w:ascii="Arial" w:hAnsi="Arial" w:cs="Arial"/>
          <w:sz w:val="20"/>
          <w:szCs w:val="20"/>
          <w:shd w:val="clear" w:color="auto" w:fill="FFFFFF"/>
        </w:rPr>
        <w:t>.</w:t>
      </w:r>
      <w:proofErr w:type="gramEnd"/>
      <w:r w:rsidRPr="00D34626">
        <w:rPr>
          <w:rFonts w:ascii="Arial" w:hAnsi="Arial" w:cs="Arial"/>
          <w:sz w:val="20"/>
          <w:szCs w:val="20"/>
          <w:shd w:val="clear" w:color="auto" w:fill="FFFFFF"/>
        </w:rPr>
        <w:t xml:space="preserve"> </w:t>
      </w:r>
      <w:proofErr w:type="gramStart"/>
      <w:r w:rsidRPr="00D34626">
        <w:rPr>
          <w:rFonts w:ascii="Arial" w:hAnsi="Arial" w:cs="Arial"/>
          <w:sz w:val="20"/>
          <w:szCs w:val="20"/>
          <w:shd w:val="clear" w:color="auto" w:fill="FFFFFF"/>
        </w:rPr>
        <w:t xml:space="preserve">Lancaster Pamphlets in Ancient History, </w:t>
      </w:r>
      <w:proofErr w:type="spellStart"/>
      <w:r w:rsidRPr="00D34626">
        <w:rPr>
          <w:rFonts w:ascii="Arial" w:hAnsi="Arial" w:cs="Arial"/>
          <w:sz w:val="20"/>
          <w:szCs w:val="20"/>
          <w:shd w:val="clear" w:color="auto" w:fill="FFFFFF"/>
        </w:rPr>
        <w:t>Routledge</w:t>
      </w:r>
      <w:proofErr w:type="spellEnd"/>
      <w:r w:rsidRPr="00D34626">
        <w:rPr>
          <w:rFonts w:ascii="Arial" w:hAnsi="Arial" w:cs="Arial"/>
          <w:sz w:val="20"/>
          <w:szCs w:val="20"/>
          <w:shd w:val="clear" w:color="auto" w:fill="FFFFFF"/>
        </w:rPr>
        <w:t>, 2005.</w:t>
      </w:r>
      <w:proofErr w:type="gramEnd"/>
    </w:p>
    <w:p w:rsidR="00D34626" w:rsidRPr="00D34626" w:rsidRDefault="00D34626" w:rsidP="00D34626">
      <w:pPr>
        <w:pStyle w:val="FootnoteText"/>
        <w:ind w:left="720" w:hanging="720"/>
        <w:rPr>
          <w:rFonts w:ascii="Arial" w:hAnsi="Arial" w:cs="Arial"/>
        </w:rPr>
      </w:pPr>
    </w:p>
  </w:footnote>
  <w:footnote w:id="7">
    <w:p w:rsidR="00D34626" w:rsidRPr="00D34626" w:rsidRDefault="00D34626" w:rsidP="00D34626">
      <w:pPr>
        <w:pStyle w:val="FootnoteText"/>
        <w:ind w:left="720" w:hanging="720"/>
        <w:rPr>
          <w:rFonts w:ascii="Arial" w:hAnsi="Arial" w:cs="Arial"/>
        </w:rPr>
      </w:pPr>
      <w:r w:rsidRPr="00D34626">
        <w:rPr>
          <w:rStyle w:val="FootnoteReference"/>
          <w:rFonts w:ascii="Arial" w:hAnsi="Arial" w:cs="Arial"/>
        </w:rPr>
        <w:footnoteRef/>
      </w:r>
      <w:r w:rsidRPr="00D34626">
        <w:rPr>
          <w:rFonts w:ascii="Arial" w:hAnsi="Arial" w:cs="Arial"/>
        </w:rPr>
        <w:t xml:space="preserve"> </w:t>
      </w:r>
      <w:proofErr w:type="spellStart"/>
      <w:r w:rsidRPr="00D34626">
        <w:rPr>
          <w:rFonts w:ascii="Arial" w:hAnsi="Arial" w:cs="Arial"/>
        </w:rPr>
        <w:t>Aeschines</w:t>
      </w:r>
      <w:proofErr w:type="spellEnd"/>
      <w:r w:rsidRPr="00D34626">
        <w:rPr>
          <w:rFonts w:ascii="Arial" w:hAnsi="Arial" w:cs="Arial"/>
        </w:rPr>
        <w:t xml:space="preserve">, </w:t>
      </w:r>
      <w:r w:rsidRPr="00D34626">
        <w:rPr>
          <w:rFonts w:ascii="Arial" w:hAnsi="Arial" w:cs="Arial"/>
          <w:i/>
        </w:rPr>
        <w:t>Speeches</w:t>
      </w:r>
      <w:r w:rsidRPr="00D34626">
        <w:rPr>
          <w:rFonts w:ascii="Arial" w:hAnsi="Arial" w:cs="Arial"/>
        </w:rPr>
        <w:t xml:space="preserve"> (English) (XML Header) [Genre: Prose; rhetoric] </w:t>
      </w:r>
      <w:proofErr w:type="spellStart"/>
      <w:r w:rsidRPr="00D34626">
        <w:rPr>
          <w:rFonts w:ascii="Arial" w:hAnsi="Arial" w:cs="Arial"/>
        </w:rPr>
        <w:t>Aeschin</w:t>
      </w:r>
      <w:proofErr w:type="spellEnd"/>
    </w:p>
  </w:footnote>
  <w:footnote w:id="8">
    <w:p w:rsidR="00D34626" w:rsidRPr="00D34626" w:rsidRDefault="00D34626" w:rsidP="00D34626">
      <w:pPr>
        <w:pStyle w:val="FootnoteText"/>
        <w:ind w:left="720" w:hanging="720"/>
        <w:rPr>
          <w:rFonts w:ascii="Arial" w:hAnsi="Arial" w:cs="Arial"/>
        </w:rPr>
      </w:pPr>
      <w:r w:rsidRPr="00D34626">
        <w:rPr>
          <w:rStyle w:val="FootnoteReference"/>
          <w:rFonts w:ascii="Arial" w:hAnsi="Arial" w:cs="Arial"/>
        </w:rPr>
        <w:footnoteRef/>
      </w:r>
      <w:r w:rsidRPr="00D34626">
        <w:rPr>
          <w:rFonts w:ascii="Arial" w:hAnsi="Arial" w:cs="Arial"/>
        </w:rPr>
        <w:t xml:space="preserve"> Ibid., p. 1.15</w:t>
      </w:r>
    </w:p>
  </w:footnote>
  <w:footnote w:id="9">
    <w:p w:rsidR="00D34626" w:rsidRPr="00D34626" w:rsidRDefault="00D34626" w:rsidP="00D34626">
      <w:pPr>
        <w:pStyle w:val="FootnoteText"/>
        <w:ind w:left="720" w:hanging="720"/>
        <w:rPr>
          <w:rFonts w:ascii="Arial" w:hAnsi="Arial" w:cs="Arial"/>
        </w:rPr>
      </w:pPr>
      <w:r w:rsidRPr="00D34626">
        <w:rPr>
          <w:rStyle w:val="FootnoteReference"/>
          <w:rFonts w:ascii="Arial" w:hAnsi="Arial" w:cs="Arial"/>
        </w:rPr>
        <w:footnoteRef/>
      </w:r>
      <w:r w:rsidRPr="00D34626">
        <w:rPr>
          <w:rFonts w:ascii="Arial" w:hAnsi="Arial" w:cs="Arial"/>
        </w:rPr>
        <w:t xml:space="preserve"> Ibid.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4626" w:rsidRPr="00D34626" w:rsidRDefault="00D34626" w:rsidP="00D34626">
    <w:pPr>
      <w:pStyle w:val="Header"/>
      <w:jc w:val="right"/>
      <w:rPr>
        <w:rFonts w:ascii="Times New Roman" w:hAnsi="Times New Roman" w:cs="Times New Roman"/>
        <w:sz w:val="24"/>
        <w:szCs w:val="24"/>
      </w:rPr>
    </w:pPr>
    <w:r w:rsidRPr="00D34626">
      <w:rPr>
        <w:rFonts w:ascii="Times New Roman" w:hAnsi="Times New Roman" w:cs="Times New Roman"/>
        <w:sz w:val="24"/>
        <w:szCs w:val="24"/>
      </w:rPr>
      <w:t xml:space="preserve">Last Name </w:t>
    </w:r>
    <w:r w:rsidRPr="00D34626">
      <w:rPr>
        <w:rFonts w:ascii="Times New Roman" w:hAnsi="Times New Roman" w:cs="Times New Roman"/>
        <w:sz w:val="24"/>
        <w:szCs w:val="24"/>
      </w:rPr>
      <w:fldChar w:fldCharType="begin"/>
    </w:r>
    <w:r w:rsidRPr="00D34626">
      <w:rPr>
        <w:rFonts w:ascii="Times New Roman" w:hAnsi="Times New Roman" w:cs="Times New Roman"/>
        <w:sz w:val="24"/>
        <w:szCs w:val="24"/>
      </w:rPr>
      <w:instrText xml:space="preserve"> PAGE   \* MERGEFORMAT </w:instrText>
    </w:r>
    <w:r w:rsidRPr="00D34626">
      <w:rPr>
        <w:rFonts w:ascii="Times New Roman" w:hAnsi="Times New Roman" w:cs="Times New Roman"/>
        <w:sz w:val="24"/>
        <w:szCs w:val="24"/>
      </w:rPr>
      <w:fldChar w:fldCharType="separate"/>
    </w:r>
    <w:r w:rsidR="00765CA0">
      <w:rPr>
        <w:rFonts w:ascii="Times New Roman" w:hAnsi="Times New Roman" w:cs="Times New Roman"/>
        <w:noProof/>
        <w:sz w:val="24"/>
        <w:szCs w:val="24"/>
      </w:rPr>
      <w:t>1</w:t>
    </w:r>
    <w:r w:rsidRPr="00D34626">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149"/>
    <w:rsid w:val="003C06A7"/>
    <w:rsid w:val="00480E9C"/>
    <w:rsid w:val="004D1D3C"/>
    <w:rsid w:val="00765CA0"/>
    <w:rsid w:val="009419DC"/>
    <w:rsid w:val="00AF7149"/>
    <w:rsid w:val="00D34229"/>
    <w:rsid w:val="00D34626"/>
    <w:rsid w:val="00D63E22"/>
    <w:rsid w:val="00F26C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26C4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26C44"/>
    <w:rPr>
      <w:i/>
      <w:iCs/>
    </w:rPr>
  </w:style>
  <w:style w:type="paragraph" w:styleId="Header">
    <w:name w:val="header"/>
    <w:basedOn w:val="Normal"/>
    <w:link w:val="HeaderChar"/>
    <w:uiPriority w:val="99"/>
    <w:unhideWhenUsed/>
    <w:rsid w:val="00D346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4626"/>
  </w:style>
  <w:style w:type="paragraph" w:styleId="Footer">
    <w:name w:val="footer"/>
    <w:basedOn w:val="Normal"/>
    <w:link w:val="FooterChar"/>
    <w:uiPriority w:val="99"/>
    <w:unhideWhenUsed/>
    <w:rsid w:val="00D346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4626"/>
  </w:style>
  <w:style w:type="paragraph" w:styleId="FootnoteText">
    <w:name w:val="footnote text"/>
    <w:basedOn w:val="Normal"/>
    <w:link w:val="FootnoteTextChar"/>
    <w:uiPriority w:val="99"/>
    <w:semiHidden/>
    <w:unhideWhenUsed/>
    <w:rsid w:val="00D3462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34626"/>
    <w:rPr>
      <w:sz w:val="20"/>
      <w:szCs w:val="20"/>
    </w:rPr>
  </w:style>
  <w:style w:type="character" w:styleId="FootnoteReference">
    <w:name w:val="footnote reference"/>
    <w:basedOn w:val="DefaultParagraphFont"/>
    <w:uiPriority w:val="99"/>
    <w:semiHidden/>
    <w:unhideWhenUsed/>
    <w:rsid w:val="00D34626"/>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26C4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26C44"/>
    <w:rPr>
      <w:i/>
      <w:iCs/>
    </w:rPr>
  </w:style>
  <w:style w:type="paragraph" w:styleId="Header">
    <w:name w:val="header"/>
    <w:basedOn w:val="Normal"/>
    <w:link w:val="HeaderChar"/>
    <w:uiPriority w:val="99"/>
    <w:unhideWhenUsed/>
    <w:rsid w:val="00D346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4626"/>
  </w:style>
  <w:style w:type="paragraph" w:styleId="Footer">
    <w:name w:val="footer"/>
    <w:basedOn w:val="Normal"/>
    <w:link w:val="FooterChar"/>
    <w:uiPriority w:val="99"/>
    <w:unhideWhenUsed/>
    <w:rsid w:val="00D346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4626"/>
  </w:style>
  <w:style w:type="paragraph" w:styleId="FootnoteText">
    <w:name w:val="footnote text"/>
    <w:basedOn w:val="Normal"/>
    <w:link w:val="FootnoteTextChar"/>
    <w:uiPriority w:val="99"/>
    <w:semiHidden/>
    <w:unhideWhenUsed/>
    <w:rsid w:val="00D3462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34626"/>
    <w:rPr>
      <w:sz w:val="20"/>
      <w:szCs w:val="20"/>
    </w:rPr>
  </w:style>
  <w:style w:type="character" w:styleId="FootnoteReference">
    <w:name w:val="footnote reference"/>
    <w:basedOn w:val="DefaultParagraphFont"/>
    <w:uiPriority w:val="99"/>
    <w:semiHidden/>
    <w:unhideWhenUsed/>
    <w:rsid w:val="00D3462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9976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E004AF-BC59-4C51-A3C3-FAF2A95A5C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1023</Words>
  <Characters>5833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2020-10-15T10:48:00Z</dcterms:created>
  <dcterms:modified xsi:type="dcterms:W3CDTF">2020-10-15T10:48:00Z</dcterms:modified>
</cp:coreProperties>
</file>